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0D7AB1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3</w:t>
      </w:r>
      <w:r w:rsidRPr="000D7AB1">
        <w:rPr>
          <w:rFonts w:ascii="Optima" w:hAnsi="Optima"/>
          <w:b/>
          <w:sz w:val="48"/>
          <w:szCs w:val="36"/>
          <w:vertAlign w:val="superscript"/>
        </w:rPr>
        <w:t>rd</w:t>
      </w:r>
      <w:r>
        <w:rPr>
          <w:rFonts w:ascii="Optima" w:hAnsi="Optima"/>
          <w:b/>
          <w:sz w:val="48"/>
          <w:szCs w:val="36"/>
        </w:rPr>
        <w:t xml:space="preserve"> Grade Math, Topic 7.1 Division as Sharing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Two-color counters</w:t>
            </w:r>
          </w:p>
          <w:p w:rsidR="00E54930" w:rsidRP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Interactive Learning Recording Sheet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3</w:t>
            </w:r>
            <w:r w:rsidRPr="00446BD1">
              <w:rPr>
                <w:rFonts w:ascii="Optima" w:hAnsi="Optima"/>
                <w:vertAlign w:val="superscript"/>
              </w:rPr>
              <w:t>rd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7-1</w:t>
            </w: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“Tandy needs to put 12 pigs in 4 pens.  She wants to put the same number of pigs in each pen.  How many pigs should she put in each pen?  Draw a picture to show the main idea.  Then solve.”</w:t>
            </w:r>
          </w:p>
          <w:p w:rsidR="008F4FA5" w:rsidRPr="008F4FA5" w:rsidRDefault="008F4FA5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* Hand out two-color counters to aid problem solving throughout this lesson.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F4FA5" w:rsidRDefault="008F4FA5" w:rsidP="00537AF5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  <w:i/>
              </w:rPr>
              <w:t>Division</w:t>
            </w:r>
            <w:r>
              <w:rPr>
                <w:rFonts w:ascii="Optima" w:hAnsi="Optima"/>
                <w:b/>
                <w:i/>
              </w:rPr>
              <w:t xml:space="preserve">  </w:t>
            </w:r>
            <w:r>
              <w:rPr>
                <w:rFonts w:ascii="Optima" w:hAnsi="Optima"/>
              </w:rPr>
              <w:t xml:space="preserve">Create a class definition of “division”.  </w:t>
            </w:r>
          </w:p>
          <w:p w:rsidR="008F4FA5" w:rsidRPr="00446BD1" w:rsidRDefault="008F4FA5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“How can you think of division as sharing?”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Record responses.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“Name some things you share equally with friends.”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do you decide to share equally?”</w:t>
            </w:r>
          </w:p>
          <w:p w:rsidR="008F4FA5" w:rsidRPr="00937FAF" w:rsidRDefault="008F4FA5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Problem: “Four friends picked 20 apples.  They want to share them equally.  How many apples should each person get?”  (Pair work using counters and recording drawings in Math Journals)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share out problem solving.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Class discussion: Re-emphasize vocabulary: division; Questions for discussion: How many apples are there in all?”  “How many ways can we equally share 20 apples with 4 friends?”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Next problems (write on board): 20 apples shared by 2 friends; 20 apples shared by 5 friends. (Pair work; continue using counters and recording drawings in Math Journals)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Extend: “Are there other ways you can divide 20 apples into equal groups?”  Circulate around the classroom and reinforce problem-solving strategies.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1 &amp; 2 whole class (using counters and recording drawings in Math Journals)</w:t>
            </w:r>
          </w:p>
          <w:p w:rsidR="008F4FA5" w:rsidRPr="0078589F" w:rsidRDefault="008F4FA5" w:rsidP="002F03E0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 &amp; 4 independently, then partner share responses (using counters and recording drawings in Math Journals)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*ReTeaching Set A on page 180, if necessary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problems 5, 7, 9, 11, 13, and 15</w:t>
            </w:r>
            <w:r>
              <w:rPr>
                <w:rFonts w:ascii="Optima" w:hAnsi="Optima"/>
              </w:rPr>
              <w:t xml:space="preserve"> in Math Journal</w:t>
            </w:r>
            <w:r w:rsidR="00923CA5">
              <w:rPr>
                <w:rFonts w:ascii="Optima" w:hAnsi="Optima"/>
              </w:rPr>
              <w:t xml:space="preserve"> *Brain Builder: Problem 17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7-1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Toss and Talk</w:t>
                  </w:r>
                  <w:r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7-1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Default="004E0B5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24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24EB" w:rsidRDefault="00C524E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Pr="000C7C3D" w:rsidRDefault="004E0B58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C524EB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2C628C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C524EB" w:rsidRDefault="00C524E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524EB" w:rsidRPr="005713AA" w:rsidRDefault="00C524E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C524EB" w:rsidRDefault="00C524EB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C628C"/>
    <w:rsid w:val="002F03E0"/>
    <w:rsid w:val="002F6E4F"/>
    <w:rsid w:val="003E59E6"/>
    <w:rsid w:val="00421D90"/>
    <w:rsid w:val="00446BD1"/>
    <w:rsid w:val="004A1E56"/>
    <w:rsid w:val="004A4FB3"/>
    <w:rsid w:val="004E0B58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F5685"/>
    <w:rsid w:val="00C524EB"/>
    <w:rsid w:val="00C820EF"/>
    <w:rsid w:val="00CC7B1F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3365</Characters>
  <Application>Microsoft Macintosh Word</Application>
  <DocSecurity>0</DocSecurity>
  <Lines>28</Lines>
  <Paragraphs>6</Paragraphs>
  <ScaleCrop>false</ScaleCrop>
  <Company>Canyons School District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2011-01-28T03:32:00Z</dcterms:created>
  <dcterms:modified xsi:type="dcterms:W3CDTF">2011-01-28T03:32:00Z</dcterms:modified>
</cp:coreProperties>
</file>